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26" w:rsidRDefault="008011FB">
      <w:pPr>
        <w:pStyle w:val="Heading1"/>
        <w:rPr>
          <w:rFonts w:ascii="Arial" w:hAnsi="Arial" w:cs="Arial"/>
          <w:b/>
          <w:bCs/>
          <w:color w:val="auto"/>
          <w:sz w:val="36"/>
          <w:szCs w:val="36"/>
        </w:rPr>
      </w:pPr>
      <w:r>
        <w:rPr>
          <w:rFonts w:ascii="Arial" w:hAnsi="Arial" w:cs="Arial"/>
          <w:b/>
          <w:bCs/>
          <w:color w:val="auto"/>
          <w:sz w:val="36"/>
          <w:szCs w:val="36"/>
        </w:rPr>
        <w:t>Checklist for reviewing your charity’s internal financial controls</w:t>
      </w:r>
    </w:p>
    <w:p w:rsidR="00F77626" w:rsidRDefault="00F77626">
      <w:pPr>
        <w:rPr>
          <w:rFonts w:cs="Arial"/>
        </w:rPr>
      </w:pPr>
    </w:p>
    <w:p w:rsidR="00F77626" w:rsidRDefault="008011FB">
      <w:r>
        <w:rPr>
          <w:rFonts w:cs="Arial"/>
          <w:color w:val="000000"/>
        </w:rPr>
        <w:t xml:space="preserve">Use this checklist to check your charity’s internal finance controls against the legal requirements and good practice recommendations in </w:t>
      </w:r>
      <w:hyperlink r:id="rId6" w:history="1">
        <w:r>
          <w:rPr>
            <w:rStyle w:val="Hyperlink"/>
          </w:rPr>
          <w:t>Internal financial controls for charities (CC8)</w:t>
        </w:r>
      </w:hyperlink>
      <w:r>
        <w:t>.</w:t>
      </w:r>
    </w:p>
    <w:p w:rsidR="00F77626" w:rsidRDefault="008011FB">
      <w:pPr>
        <w:rPr>
          <w:color w:val="000000"/>
        </w:rPr>
      </w:pPr>
      <w:r>
        <w:rPr>
          <w:color w:val="000000"/>
        </w:rPr>
        <w:t xml:space="preserve">You should review your charity’s internal financial controls at least once a year. </w:t>
      </w:r>
    </w:p>
    <w:p w:rsidR="00F77626" w:rsidRDefault="008011FB">
      <w:pPr>
        <w:rPr>
          <w:color w:val="000000"/>
        </w:rPr>
      </w:pPr>
      <w:r>
        <w:rPr>
          <w:color w:val="000000"/>
        </w:rPr>
        <w:t xml:space="preserve">Answer the checklist based on your knowledge of what actually happens in your charity, not what you expect to happen. </w:t>
      </w:r>
    </w:p>
    <w:p w:rsidR="00F77626" w:rsidRDefault="008011FB">
      <w:pPr>
        <w:rPr>
          <w:color w:val="000000"/>
        </w:rPr>
      </w:pPr>
      <w:r>
        <w:rPr>
          <w:color w:val="000000"/>
        </w:rPr>
        <w:t xml:space="preserve">Each of the points on the checklist links to a section of the guidance which you should read for full details. </w:t>
      </w:r>
    </w:p>
    <w:p w:rsidR="00F77626" w:rsidRDefault="008011FB">
      <w:pPr>
        <w:rPr>
          <w:color w:val="000000"/>
        </w:rPr>
      </w:pPr>
      <w:r>
        <w:rPr>
          <w:color w:val="000000"/>
        </w:rPr>
        <w:t xml:space="preserve">Not all the controls set out below are appropriate for all charities. Only use the sections relevant to your charity’s activities. </w:t>
      </w:r>
    </w:p>
    <w:p w:rsidR="00F77626" w:rsidRDefault="008011FB">
      <w:pPr>
        <w:rPr>
          <w:color w:val="000000"/>
        </w:rPr>
      </w:pPr>
      <w:r>
        <w:rPr>
          <w:color w:val="000000"/>
        </w:rPr>
        <w:t xml:space="preserve">You must always comply with legal requirements identified in the checklist which are relevant to your charity. </w:t>
      </w:r>
    </w:p>
    <w:p w:rsidR="00F77626" w:rsidRDefault="008011FB">
      <w:pPr>
        <w:rPr>
          <w:color w:val="000000"/>
        </w:rPr>
      </w:pPr>
      <w:r>
        <w:rPr>
          <w:color w:val="000000"/>
        </w:rPr>
        <w:t xml:space="preserve">A ‘yes’ answer for good practice recommendations does not mean there is no scope for further improvement. A ‘no’ answer does not always indicate a problem. For example, you may not have a particular control because it would not be appropriate for your charity’s size or activities. Or it may be a reasonable risk for your charity, given the cost of putting in place stronger internal controls. </w:t>
      </w:r>
    </w:p>
    <w:p w:rsidR="00F77626" w:rsidRDefault="00F77626">
      <w:pPr>
        <w:rPr>
          <w:b/>
          <w:bCs/>
          <w:color w:val="4472C4"/>
        </w:rPr>
      </w:pPr>
    </w:p>
    <w:tbl>
      <w:tblPr>
        <w:tblW w:w="10633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72"/>
        <w:gridCol w:w="1701"/>
        <w:gridCol w:w="1560"/>
      </w:tblGrid>
      <w:tr w:rsidR="00F77626" w:rsidTr="004506DD">
        <w:trPr>
          <w:trHeight w:val="552"/>
        </w:trPr>
        <w:tc>
          <w:tcPr>
            <w:tcW w:w="10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GENERAL PRINCIPLES FOR ALL CHARITIES</w:t>
            </w: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tabs>
                <w:tab w:val="left" w:pos="108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Understand the types of controls appropriate for your charity</w:t>
            </w:r>
          </w:p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</w:t>
            </w: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tabs>
                <w:tab w:val="left" w:pos="1080"/>
              </w:tabs>
              <w:spacing w:after="0" w:line="240" w:lineRule="auto"/>
            </w:pPr>
            <w:r>
              <w:t>Your charity’s financial controls cover all aspects of how your charity handles money</w:t>
            </w:r>
          </w:p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tabs>
                <w:tab w:val="left" w:pos="1080"/>
              </w:tabs>
              <w:spacing w:after="0" w:line="240" w:lineRule="auto"/>
            </w:pPr>
            <w:r>
              <w:t>You seek professional advice where you are not sure what controls are appropriate for your charity</w:t>
            </w:r>
          </w:p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FB" w:rsidRDefault="008011FB">
            <w:pPr>
              <w:spacing w:after="0" w:line="240" w:lineRule="auto"/>
              <w:rPr>
                <w:b/>
                <w:bCs/>
                <w:color w:val="4472C4"/>
              </w:rPr>
            </w:pPr>
          </w:p>
          <w:p w:rsidR="00F77626" w:rsidRPr="008011FB" w:rsidRDefault="008011FB" w:rsidP="008011FB">
            <w: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Understand your charity’s financial information</w:t>
            </w:r>
          </w:p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</w:t>
            </w: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All trustees are given regular information about the financial performance of your charity</w:t>
            </w:r>
          </w:p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FB" w:rsidRDefault="008011FB">
            <w:pPr>
              <w:spacing w:after="0" w:line="240" w:lineRule="auto"/>
              <w:rPr>
                <w:b/>
                <w:bCs/>
                <w:color w:val="4472C4"/>
              </w:rPr>
            </w:pPr>
          </w:p>
          <w:p w:rsidR="00F77626" w:rsidRPr="008011FB" w:rsidRDefault="008011FB" w:rsidP="008011FB">
            <w: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You discuss the financial performance of your charity at each trustee meeting</w:t>
            </w:r>
          </w:p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FB" w:rsidRDefault="008011FB">
            <w:pPr>
              <w:spacing w:after="0" w:line="240" w:lineRule="auto"/>
              <w:rPr>
                <w:b/>
                <w:bCs/>
                <w:color w:val="4472C4"/>
              </w:rPr>
            </w:pPr>
          </w:p>
          <w:p w:rsidR="00F77626" w:rsidRPr="008011FB" w:rsidRDefault="008011FB" w:rsidP="008011FB">
            <w: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 xml:space="preserve">You have terms of reference for any finance sub-committee, or </w:t>
            </w:r>
            <w:r>
              <w:lastRenderedPageBreak/>
              <w:t>similar sub-groups of the trustee board</w:t>
            </w:r>
          </w:p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lastRenderedPageBreak/>
              <w:t>N/A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lastRenderedPageBreak/>
              <w:t>If you have a finance sub-committee it reports to the full board of trustees in line with terms of reference</w:t>
            </w:r>
          </w:p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rPr>
          <w:trHeight w:val="56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rPr>
                <w:b/>
                <w:bCs/>
              </w:rPr>
              <w:t>3 Preparing accounts and reports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</w:t>
            </w: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You keep appropriate accounting records of all transactions (legal requirement)</w:t>
            </w:r>
          </w:p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FB" w:rsidRDefault="008011FB">
            <w:pPr>
              <w:spacing w:after="0" w:line="240" w:lineRule="auto"/>
              <w:rPr>
                <w:b/>
                <w:bCs/>
                <w:color w:val="4472C4"/>
              </w:rPr>
            </w:pPr>
          </w:p>
          <w:p w:rsidR="00F77626" w:rsidRPr="008011FB" w:rsidRDefault="008011FB" w:rsidP="008011FB">
            <w: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The charity’s accounts comply with the relevant legal requirements (legal requirement)</w:t>
            </w:r>
          </w:p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FB" w:rsidRDefault="008011FB">
            <w:pPr>
              <w:spacing w:after="0" w:line="240" w:lineRule="auto"/>
              <w:rPr>
                <w:b/>
                <w:bCs/>
                <w:color w:val="4472C4"/>
              </w:rPr>
            </w:pPr>
          </w:p>
          <w:p w:rsidR="00F77626" w:rsidRPr="008011FB" w:rsidRDefault="008011FB" w:rsidP="008011FB">
            <w: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You prepare an annual report (legal requirement) and accounts which are formally approved by trustees at an annual meeting</w:t>
            </w:r>
          </w:p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FB" w:rsidRDefault="008011FB">
            <w:pPr>
              <w:spacing w:after="0" w:line="240" w:lineRule="auto"/>
              <w:rPr>
                <w:b/>
                <w:bCs/>
                <w:color w:val="4472C4"/>
              </w:rPr>
            </w:pPr>
          </w:p>
          <w:p w:rsidR="00F77626" w:rsidRPr="008011FB" w:rsidRDefault="008011FB" w:rsidP="008011FB">
            <w: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You have appointed an auditor or independent examiner (legal requirement for charities with gross annual income of over £25,000)</w:t>
            </w:r>
          </w:p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FB" w:rsidRDefault="008011FB">
            <w:pPr>
              <w:spacing w:after="0" w:line="240" w:lineRule="auto"/>
              <w:rPr>
                <w:b/>
                <w:bCs/>
                <w:color w:val="4472C4"/>
              </w:rPr>
            </w:pPr>
          </w:p>
          <w:p w:rsidR="00F77626" w:rsidRPr="008011FB" w:rsidRDefault="008011FB" w:rsidP="008011FB">
            <w: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Pr="00EA747A" w:rsidRDefault="008011FB">
            <w:pPr>
              <w:spacing w:after="0" w:line="240" w:lineRule="auto"/>
            </w:pPr>
            <w:r w:rsidRPr="00EA747A">
              <w:t>New trustees are given a copy of the latest accounts, relevant guidance and the charity’s governing document</w:t>
            </w:r>
          </w:p>
          <w:p w:rsidR="00F77626" w:rsidRPr="008011FB" w:rsidRDefault="00F77626">
            <w:pPr>
              <w:spacing w:after="0" w:line="240" w:lineRule="auto"/>
              <w:rPr>
                <w:b/>
                <w:bCs/>
                <w:color w:val="4472C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EA747A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You file the annual report and accounts with the Charity Commission on time (legal requirement if your charity’s gross annual income exceeds £25,000 or you are a Charitable Incorporated Organisation (CIO) and you are not an exempt or excepted charity)</w:t>
            </w:r>
          </w:p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FB" w:rsidRDefault="008011FB">
            <w:pPr>
              <w:spacing w:after="0" w:line="240" w:lineRule="auto"/>
              <w:rPr>
                <w:b/>
                <w:bCs/>
                <w:color w:val="4472C4"/>
              </w:rPr>
            </w:pPr>
          </w:p>
          <w:p w:rsidR="008011FB" w:rsidRDefault="008011FB" w:rsidP="008011FB"/>
          <w:p w:rsidR="00F77626" w:rsidRPr="008011FB" w:rsidRDefault="008011FB" w:rsidP="008011FB">
            <w: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You file your charity’s annual return on time (legal requirement if your charity is a Charitable Incorporated Organisation (CIO) or has a gross annual income of over £10,000)</w:t>
            </w:r>
          </w:p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1FB" w:rsidRDefault="008011FB">
            <w:pPr>
              <w:spacing w:after="0" w:line="240" w:lineRule="auto"/>
              <w:rPr>
                <w:b/>
                <w:bCs/>
                <w:color w:val="4472C4"/>
              </w:rPr>
            </w:pPr>
          </w:p>
          <w:p w:rsidR="00F77626" w:rsidRPr="008011FB" w:rsidRDefault="008011FB" w:rsidP="008011FB">
            <w: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 Embedding internal financial controls</w:t>
            </w:r>
          </w:p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</w:t>
            </w: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Pr="009F2A8E" w:rsidRDefault="008011FB">
            <w:pPr>
              <w:spacing w:after="0" w:line="240" w:lineRule="auto"/>
            </w:pPr>
            <w:r w:rsidRPr="009F2A8E">
              <w:t>Controls are understood and followed by everyone within your charity</w:t>
            </w:r>
          </w:p>
          <w:p w:rsidR="00F77626" w:rsidRPr="009F2A8E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Pr="008011FB" w:rsidRDefault="00A60E56">
            <w:pPr>
              <w:spacing w:after="0" w:line="240" w:lineRule="auto"/>
              <w:rPr>
                <w:b/>
                <w:bCs/>
                <w:color w:val="4472C4"/>
                <w:highlight w:val="yellow"/>
              </w:rPr>
            </w:pPr>
            <w:r>
              <w:rPr>
                <w:b/>
                <w:bCs/>
                <w:color w:val="4472C4"/>
              </w:rPr>
              <w:t>See notes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Pr="008011FB" w:rsidRDefault="00F77626">
            <w:pPr>
              <w:spacing w:after="0" w:line="240" w:lineRule="auto"/>
              <w:rPr>
                <w:b/>
                <w:bCs/>
                <w:color w:val="4472C4"/>
                <w:highlight w:val="yellow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Pr="00EA747A" w:rsidRDefault="008011FB">
            <w:pPr>
              <w:spacing w:after="0" w:line="240" w:lineRule="auto"/>
            </w:pPr>
            <w:r w:rsidRPr="00EA747A">
              <w:t>Training is provided on your charity’s financial controls and policies</w:t>
            </w:r>
          </w:p>
          <w:p w:rsidR="00F77626" w:rsidRPr="002F56D8" w:rsidRDefault="00F77626">
            <w:pPr>
              <w:spacing w:after="0" w:line="240" w:lineRule="auto"/>
              <w:rPr>
                <w:b/>
                <w:bCs/>
                <w:color w:val="4472C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A60E56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See notes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 Monitoring financial performance</w:t>
            </w:r>
          </w:p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</w:t>
            </w: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Pr="000F73B3" w:rsidRDefault="008011FB">
            <w:pPr>
              <w:spacing w:after="0" w:line="240" w:lineRule="auto"/>
            </w:pPr>
            <w:r w:rsidRPr="000F73B3">
              <w:t>Budgets setting out income and expenditure are prepared and approved by the trustees</w:t>
            </w:r>
          </w:p>
          <w:p w:rsidR="00F77626" w:rsidRPr="000F73B3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0F73B3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plans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Pr="000F73B3" w:rsidRDefault="008011FB">
            <w:pPr>
              <w:spacing w:after="0" w:line="240" w:lineRule="auto"/>
            </w:pPr>
            <w:r w:rsidRPr="000F73B3">
              <w:t>Performance is measured against budgets at regular intervals and explanations are provided for any differences</w:t>
            </w:r>
          </w:p>
          <w:p w:rsidR="00F77626" w:rsidRPr="000F73B3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0F73B3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 Reviewing and monitoring your internal financial controls</w:t>
            </w:r>
          </w:p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</w:t>
            </w: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Pr="000F73B3" w:rsidRDefault="008011FB">
            <w:pPr>
              <w:spacing w:after="0" w:line="240" w:lineRule="auto"/>
            </w:pPr>
            <w:r w:rsidRPr="000F73B3">
              <w:lastRenderedPageBreak/>
              <w:t>You carry out an annual review of your charity’s internal financial controls</w:t>
            </w:r>
          </w:p>
          <w:p w:rsidR="00F77626" w:rsidRPr="008011FB" w:rsidRDefault="00F77626">
            <w:pPr>
              <w:spacing w:after="0" w:line="240" w:lineRule="auto"/>
              <w:rPr>
                <w:b/>
                <w:bCs/>
                <w:color w:val="4472C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0F73B3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3-4 years</w:t>
            </w: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Pr="000F73B3" w:rsidRDefault="008011FB">
            <w:pPr>
              <w:spacing w:after="0" w:line="240" w:lineRule="auto"/>
            </w:pPr>
            <w:r w:rsidRPr="000F73B3">
              <w:t>You have considered whether you need to appoint an internal auditor or set up an audit committee</w:t>
            </w:r>
          </w:p>
          <w:p w:rsidR="00F77626" w:rsidRPr="008011FB" w:rsidRDefault="00F7762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0F73B3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No</w:t>
            </w: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 Splitting financial duties between people</w:t>
            </w:r>
          </w:p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</w:t>
            </w: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Pr="000F73B3" w:rsidRDefault="008011FB">
            <w:pPr>
              <w:spacing w:after="0" w:line="240" w:lineRule="auto"/>
            </w:pPr>
            <w:r w:rsidRPr="000F73B3">
              <w:t>Financial duties are split between people to provide ‘double check’ on all transactions</w:t>
            </w:r>
          </w:p>
          <w:p w:rsidR="00F77626" w:rsidRPr="008011FB" w:rsidRDefault="00F77626">
            <w:pPr>
              <w:spacing w:after="0" w:line="240" w:lineRule="auto"/>
              <w:rPr>
                <w:b/>
                <w:bCs/>
                <w:color w:val="4472C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A60E56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Not deemed necessary for NEEMF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 Recording and reporting incidents</w:t>
            </w:r>
          </w:p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</w:t>
            </w: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Pr="000F73B3" w:rsidRDefault="008011FB">
            <w:pPr>
              <w:spacing w:after="0" w:line="240" w:lineRule="auto"/>
            </w:pPr>
            <w:r w:rsidRPr="000F73B3">
              <w:t>Your charity has procedures for recording incidents and reporting suspicions internally, to the Commission and to other relevant bodies which are well-known and working</w:t>
            </w:r>
          </w:p>
          <w:p w:rsidR="00F77626" w:rsidRPr="008011FB" w:rsidRDefault="00F77626">
            <w:pPr>
              <w:spacing w:after="0" w:line="240" w:lineRule="auto"/>
              <w:rPr>
                <w:b/>
                <w:bCs/>
                <w:color w:val="4472C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0F73B3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Too small</w:t>
            </w: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OPERATIONAL RISKS</w:t>
            </w:r>
          </w:p>
          <w:p w:rsidR="00F77626" w:rsidRDefault="00F7762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Pr="000F73B3" w:rsidRDefault="008011FB">
            <w:pPr>
              <w:spacing w:after="0" w:line="240" w:lineRule="auto"/>
            </w:pPr>
            <w:r w:rsidRPr="000F73B3">
              <w:t>Trustees and staff know why the charity is at risk from financial crime and abuse and know of typical examples of potentially fraudulent activities</w:t>
            </w:r>
          </w:p>
          <w:p w:rsidR="00F77626" w:rsidRPr="000F73B3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0F73B3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unlikely</w:t>
            </w: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Pr="000F73B3" w:rsidRDefault="008011FB">
            <w:pPr>
              <w:spacing w:after="0" w:line="240" w:lineRule="auto"/>
            </w:pPr>
            <w:r w:rsidRPr="000F73B3">
              <w:t xml:space="preserve">Your charity has appropriate policies in place which could include an anti-bribery policy, policies on the acceptance of hospitality, the acceptance of donations and a register of interests </w:t>
            </w:r>
          </w:p>
          <w:p w:rsidR="00F77626" w:rsidRPr="000F73B3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0F73B3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unlikely</w:t>
            </w: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Pr="002F56D8" w:rsidRDefault="008011FB">
            <w:pPr>
              <w:spacing w:after="0" w:line="240" w:lineRule="auto"/>
            </w:pPr>
            <w:r w:rsidRPr="002F56D8">
              <w:t>Your charity has policies and controls for access to and storage of data which complies with the General Data Protection Regulation (GDPR)</w:t>
            </w:r>
          </w:p>
          <w:p w:rsidR="00F77626" w:rsidRPr="008011FB" w:rsidRDefault="00F77626">
            <w:pPr>
              <w:spacing w:after="0" w:line="240" w:lineRule="auto"/>
              <w:rPr>
                <w:b/>
                <w:bCs/>
                <w:color w:val="4472C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0F73B3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Pr="000F73B3" w:rsidRDefault="008011FB">
            <w:pPr>
              <w:spacing w:after="0" w:line="240" w:lineRule="auto"/>
            </w:pPr>
            <w:r w:rsidRPr="000F73B3">
              <w:t>Your charity’s electronic equipment and online systems are appropriately protected</w:t>
            </w:r>
          </w:p>
          <w:p w:rsidR="00F77626" w:rsidRPr="008011FB" w:rsidRDefault="00F77626">
            <w:pPr>
              <w:spacing w:after="0" w:line="240" w:lineRule="auto"/>
              <w:rPr>
                <w:b/>
                <w:bCs/>
                <w:color w:val="4472C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0F73B3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N/A</w:t>
            </w:r>
          </w:p>
        </w:tc>
      </w:tr>
      <w:tr w:rsidR="00F77626" w:rsidTr="004506DD">
        <w:tc>
          <w:tcPr>
            <w:tcW w:w="10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INTERNAL FINANCIAL CONTROLS FOR BANKING</w:t>
            </w:r>
          </w:p>
          <w:p w:rsidR="00F77626" w:rsidRDefault="00F77626">
            <w:pPr>
              <w:spacing w:after="0" w:line="240" w:lineRule="auto"/>
              <w:rPr>
                <w:b/>
                <w:bCs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Bank and building society accounts</w:t>
            </w:r>
          </w:p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</w:t>
            </w: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You have a bank or building society account in the name of your charity</w:t>
            </w:r>
          </w:p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You have a list of your charity’s bank and building society accounts, which is regularly reviewed</w:t>
            </w:r>
          </w:p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You carry out regular reconciliations between your accounting records and bank statements</w:t>
            </w:r>
          </w:p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 xml:space="preserve">Instructions to open or close accounts are properly authorised and </w:t>
            </w:r>
            <w:r>
              <w:lastRenderedPageBreak/>
              <w:t>reported to trustees</w:t>
            </w:r>
          </w:p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lastRenderedPageBreak/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lastRenderedPageBreak/>
              <w:t>You check there are no unused accounts</w:t>
            </w:r>
          </w:p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You monitor accounts to ensure there is no third-party use</w:t>
            </w:r>
          </w:p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RPr="008011FB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Pr="000F73B3" w:rsidRDefault="008011FB">
            <w:pPr>
              <w:spacing w:after="0" w:line="240" w:lineRule="auto"/>
            </w:pPr>
            <w:r w:rsidRPr="000F73B3">
              <w:t>You regularly review the costs, benefits and risks of your charity’s current and deposit accounts</w:t>
            </w:r>
          </w:p>
          <w:p w:rsidR="00F77626" w:rsidRPr="008011FB" w:rsidRDefault="00F77626">
            <w:pPr>
              <w:spacing w:after="0" w:line="240" w:lineRule="auto"/>
              <w:rPr>
                <w:b/>
                <w:bCs/>
                <w:color w:val="4472C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Pr="008011FB" w:rsidRDefault="000F73B3">
            <w:pPr>
              <w:spacing w:after="0" w:line="240" w:lineRule="auto"/>
              <w:rPr>
                <w:b/>
                <w:bCs/>
                <w:color w:val="4472C4"/>
                <w:highlight w:val="yellow"/>
              </w:rPr>
            </w:pPr>
            <w:r w:rsidRPr="000F73B3">
              <w:rPr>
                <w:b/>
                <w:bCs/>
                <w:color w:val="4472C4"/>
              </w:rPr>
              <w:t>From time to time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Pr="008011FB" w:rsidRDefault="00F77626">
            <w:pPr>
              <w:spacing w:after="0" w:line="240" w:lineRule="auto"/>
              <w:rPr>
                <w:b/>
                <w:bCs/>
                <w:color w:val="4472C4"/>
                <w:highlight w:val="yellow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Pr="000F73B3" w:rsidRDefault="008011FB">
            <w:pPr>
              <w:spacing w:after="0" w:line="240" w:lineRule="auto"/>
            </w:pPr>
            <w:r w:rsidRPr="000F73B3">
              <w:t>The bank mandate requires at least two signatories</w:t>
            </w:r>
          </w:p>
          <w:p w:rsidR="00F77626" w:rsidRPr="008011FB" w:rsidRDefault="00F77626">
            <w:pPr>
              <w:spacing w:after="0" w:line="240" w:lineRule="auto"/>
              <w:rPr>
                <w:b/>
                <w:bCs/>
                <w:color w:val="4472C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0F73B3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2 for cheques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Online banking</w:t>
            </w:r>
          </w:p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</w:t>
            </w: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Your online banking system requires authorisation of transactions by two individuals</w:t>
            </w:r>
          </w:p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No</w:t>
            </w: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Pr="000F73B3" w:rsidRDefault="008011FB">
            <w:pPr>
              <w:spacing w:after="0" w:line="240" w:lineRule="auto"/>
            </w:pPr>
            <w:r w:rsidRPr="000F73B3">
              <w:t>All electronic devices, such as laptops, phones and tablets, are kept secure with up-to-date anti-virus and spyware software and a personal firewall</w:t>
            </w:r>
          </w:p>
          <w:p w:rsidR="00F77626" w:rsidRPr="008011FB" w:rsidRDefault="00F77626">
            <w:pPr>
              <w:spacing w:after="0" w:line="240" w:lineRule="auto"/>
              <w:rPr>
                <w:b/>
                <w:bCs/>
                <w:color w:val="4472C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0F73B3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 xml:space="preserve">Personal </w:t>
            </w:r>
            <w:proofErr w:type="spellStart"/>
            <w:r>
              <w:rPr>
                <w:b/>
                <w:bCs/>
                <w:color w:val="4472C4"/>
              </w:rPr>
              <w:t>respons-ibility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Pr="000F73B3" w:rsidRDefault="008011FB">
            <w:pPr>
              <w:spacing w:after="0" w:line="240" w:lineRule="auto"/>
            </w:pPr>
            <w:r w:rsidRPr="000F73B3">
              <w:t>Trustees, staff and volunteers understand the need to ensure that the charity’s security details (including the password and PIN) are not compromised</w:t>
            </w:r>
          </w:p>
          <w:p w:rsidR="00F77626" w:rsidRPr="008011FB" w:rsidRDefault="00F77626">
            <w:pPr>
              <w:spacing w:after="0" w:line="240" w:lineRule="auto"/>
              <w:rPr>
                <w:b/>
                <w:bCs/>
                <w:color w:val="4472C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A60E56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Applies to those with online access to bank a/c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Pr="000F73B3" w:rsidRDefault="008011FB">
            <w:pPr>
              <w:spacing w:after="0" w:line="240" w:lineRule="auto"/>
            </w:pPr>
            <w:r w:rsidRPr="000F73B3">
              <w:t>PINs and passwords are regularly changed</w:t>
            </w:r>
          </w:p>
          <w:p w:rsidR="00F77626" w:rsidRPr="008011FB" w:rsidRDefault="00F77626">
            <w:pPr>
              <w:spacing w:after="0" w:line="240" w:lineRule="auto"/>
              <w:rPr>
                <w:b/>
                <w:bCs/>
                <w:color w:val="4472C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Pr="000F73B3" w:rsidRDefault="008011FB">
            <w:pPr>
              <w:spacing w:after="0" w:line="240" w:lineRule="auto"/>
            </w:pPr>
            <w:r w:rsidRPr="000F73B3">
              <w:t>Your charity maintains a list of people who are approved to have access to the PIN and password</w:t>
            </w:r>
          </w:p>
          <w:p w:rsidR="00F77626" w:rsidRPr="008011FB" w:rsidRDefault="00F77626">
            <w:pPr>
              <w:spacing w:after="0" w:line="240" w:lineRule="auto"/>
              <w:rPr>
                <w:b/>
                <w:bCs/>
                <w:color w:val="4472C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0F73B3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N/A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Your charity keeps an audit trail of electronic banking transactions</w:t>
            </w:r>
          </w:p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0F73B3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Stripe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Cash held in your charity’s bank or building society account</w:t>
            </w:r>
          </w:p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</w:t>
            </w: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 xml:space="preserve">You carry out regular reconciliations </w:t>
            </w:r>
          </w:p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You regularly check direct debits, standing orders and other transfers</w:t>
            </w:r>
          </w:p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Banking cash and cheques</w:t>
            </w:r>
          </w:p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</w:t>
            </w: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Cash and cheques are banked promptly and (before then) stored safely</w:t>
            </w:r>
          </w:p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Your charity has insurance to cover the contents of the safe or cash box and cash in transit</w:t>
            </w:r>
          </w:p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No</w:t>
            </w: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Funds are banked without deduction of expenses</w:t>
            </w:r>
          </w:p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Alternative banking methods</w:t>
            </w:r>
          </w:p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</w:t>
            </w: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Pr="004506DD" w:rsidRDefault="008011FB">
            <w:pPr>
              <w:spacing w:after="0" w:line="240" w:lineRule="auto"/>
            </w:pPr>
            <w:r w:rsidRPr="004506DD">
              <w:t>You have policies in place that define when alternative banking methods may be used</w:t>
            </w:r>
          </w:p>
          <w:p w:rsidR="00F77626" w:rsidRPr="004506DD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4506DD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N/A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Pr="004506DD" w:rsidRDefault="008011FB">
            <w:pPr>
              <w:spacing w:after="0" w:line="240" w:lineRule="auto"/>
            </w:pPr>
            <w:r w:rsidRPr="004506DD">
              <w:t>You limit alternative banking methods to essential transfers where regulated banking systems cannot be used</w:t>
            </w:r>
          </w:p>
          <w:p w:rsidR="00F77626" w:rsidRPr="004506DD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Pr="004506DD" w:rsidRDefault="008011FB">
            <w:pPr>
              <w:spacing w:after="0" w:line="240" w:lineRule="auto"/>
            </w:pPr>
            <w:r w:rsidRPr="004506DD">
              <w:t>Your charity keeps an audit trail of alternative banking transactions</w:t>
            </w:r>
          </w:p>
          <w:p w:rsidR="00F77626" w:rsidRPr="004506DD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Pr="004506DD" w:rsidRDefault="008011FB">
            <w:pPr>
              <w:spacing w:after="0" w:line="240" w:lineRule="auto"/>
            </w:pPr>
            <w:r w:rsidRPr="004506DD">
              <w:t>Your charity ensures that the same authorisation procedures for payments in the regulated banking system are used for alternative banking transactions</w:t>
            </w:r>
          </w:p>
          <w:p w:rsidR="00F77626" w:rsidRPr="004506DD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10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INCOME</w:t>
            </w:r>
          </w:p>
          <w:p w:rsidR="00F77626" w:rsidRDefault="00F77626">
            <w:pPr>
              <w:spacing w:after="0" w:line="240" w:lineRule="auto"/>
              <w:rPr>
                <w:b/>
                <w:bCs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Income from donations</w:t>
            </w:r>
          </w:p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</w:t>
            </w: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Your charity regularly checks that all eligible tax repayments are obtained</w:t>
            </w:r>
          </w:p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Pr="004506DD" w:rsidRDefault="008011FB">
            <w:pPr>
              <w:spacing w:after="0" w:line="240" w:lineRule="auto"/>
            </w:pPr>
            <w:r w:rsidRPr="004506DD">
              <w:t>Your charity has procedures to identify ‘tainted charity donations’</w:t>
            </w:r>
          </w:p>
          <w:p w:rsidR="00F77626" w:rsidRPr="008011FB" w:rsidRDefault="00F77626">
            <w:pPr>
              <w:spacing w:after="0" w:line="240" w:lineRule="auto"/>
              <w:rPr>
                <w:b/>
                <w:bCs/>
                <w:color w:val="4472C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4506DD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N/A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Donations received from public collections and fundraising events </w:t>
            </w:r>
          </w:p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</w:t>
            </w: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Public collections are undertaken in line with the rules set out in our guidance [link to CC20] (legal requirement)</w:t>
            </w:r>
          </w:p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N/A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Your charity complies with Part II of the Charities Act 1992 where professional fundraisers are engaged (legal requirement)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Collection boxes are numbered and their allocation and return recorded</w:t>
            </w:r>
          </w:p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Collection boxes are sealed before use</w:t>
            </w:r>
          </w:p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Collection boxes are regularly opened and counted by the charity and you keep a record of their locations and history of takings</w:t>
            </w:r>
          </w:p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Collections are counted in the presence of the collector and a receipt given to them</w:t>
            </w:r>
          </w:p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Two people are involved in counting and recording the income</w:t>
            </w:r>
          </w:p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Cash is banked as soon as possible and without deduction of expenses</w:t>
            </w:r>
          </w:p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Records are maintained for each fundraising event</w:t>
            </w:r>
          </w:p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lastRenderedPageBreak/>
              <w:t>For ticket incomes:</w:t>
            </w:r>
          </w:p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Tickets are pre-numbered</w:t>
            </w:r>
          </w:p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 xml:space="preserve">Records are kept of who is in charge of which tickets to sell, and which ticket numbers they have been allocated </w:t>
            </w:r>
          </w:p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Records are kept of which tickets are sold and unsold tickets are collected</w:t>
            </w:r>
          </w:p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rPr>
          <w:trHeight w:val="418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Reconciliations are made of money received against tickets sold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rPr>
          <w:trHeight w:val="418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Income and donations received online and by card readers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</w:t>
            </w:r>
          </w:p>
        </w:tc>
      </w:tr>
      <w:tr w:rsidR="00F77626" w:rsidTr="004506DD">
        <w:trPr>
          <w:trHeight w:val="418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Card readers are kept securely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4506DD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Bursary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rPr>
          <w:trHeight w:val="418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You reconcile the transaction history with income in your charity’s bank account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EA747A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rPr>
          <w:trHeight w:val="418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You comply with the Payment Card Industry standards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rPr>
          <w:trHeight w:val="418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Income and donations received by post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</w:t>
            </w:r>
          </w:p>
        </w:tc>
      </w:tr>
      <w:tr w:rsidR="00F77626" w:rsidTr="004506DD">
        <w:trPr>
          <w:trHeight w:val="418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Post is held securely before it is opened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No</w:t>
            </w:r>
          </w:p>
        </w:tc>
      </w:tr>
      <w:tr w:rsidR="00F77626" w:rsidTr="004506DD">
        <w:trPr>
          <w:trHeight w:val="418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Post is opened in the presence of 2 people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No</w:t>
            </w: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Claiming Gift Aid on donations</w:t>
            </w:r>
          </w:p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</w:t>
            </w: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Your charity maximises of its use of Gift Aid and its use of Gift Aid is lawful</w:t>
            </w:r>
          </w:p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Your charity keeps the records required by HMRC for Gift Aid claims (legal requirement)</w:t>
            </w:r>
          </w:p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rPr>
          <w:trHeight w:val="567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Donations of </w:t>
            </w:r>
            <w:proofErr w:type="spellStart"/>
            <w:r>
              <w:rPr>
                <w:b/>
                <w:bCs/>
                <w:color w:val="000000"/>
              </w:rPr>
              <w:t>cryptoassets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</w:t>
            </w: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 xml:space="preserve">You understand the risks of holding or accepting </w:t>
            </w:r>
            <w:proofErr w:type="spellStart"/>
            <w:r>
              <w:t>cryptoassets</w:t>
            </w:r>
            <w:proofErr w:type="spellEnd"/>
            <w:r>
              <w:t xml:space="preserve"> and have the expertise to manage them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N/A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rPr>
          <w:trHeight w:val="427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 xml:space="preserve">You have a policy on holding or accepting </w:t>
            </w:r>
            <w:proofErr w:type="spellStart"/>
            <w:r>
              <w:t>cryptoassets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Your crypto wallet is compliant with UK regulations and registered with the Financial Conduct Authority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 xml:space="preserve">You regularly review the benefits of holding or accepting </w:t>
            </w:r>
            <w:proofErr w:type="spellStart"/>
            <w:r>
              <w:t>cryptoassets</w:t>
            </w:r>
            <w:proofErr w:type="spellEnd"/>
            <w:r>
              <w:t xml:space="preserve"> against the risk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Income from trading that the charity undertakes </w:t>
            </w:r>
          </w:p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</w:t>
            </w: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Pr="004506DD" w:rsidRDefault="008011FB">
            <w:pPr>
              <w:spacing w:after="0" w:line="240" w:lineRule="auto"/>
            </w:pPr>
            <w:r w:rsidRPr="004506DD">
              <w:t>You have a pricing policy for the goods and services supplied</w:t>
            </w:r>
          </w:p>
          <w:p w:rsidR="00F77626" w:rsidRPr="004506DD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4506DD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Newsletter ads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Pr="004506DD" w:rsidRDefault="008011FB">
            <w:pPr>
              <w:spacing w:after="0" w:line="240" w:lineRule="auto"/>
            </w:pPr>
            <w:r w:rsidRPr="004506DD">
              <w:t>You have invoicing procedures for goods and services supplied</w:t>
            </w:r>
          </w:p>
          <w:p w:rsidR="00F77626" w:rsidRPr="004506DD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4506DD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Jo 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Pr="004506DD" w:rsidRDefault="008011FB">
            <w:pPr>
              <w:spacing w:after="0" w:line="240" w:lineRule="auto"/>
            </w:pPr>
            <w:r w:rsidRPr="004506DD">
              <w:t>You review outstanding debts and collection procedures</w:t>
            </w:r>
          </w:p>
          <w:p w:rsidR="00F77626" w:rsidRPr="004506DD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Pr="004506DD" w:rsidRDefault="008011FB">
            <w:pPr>
              <w:spacing w:after="0" w:line="240" w:lineRule="auto"/>
            </w:pPr>
            <w:r w:rsidRPr="004506DD">
              <w:lastRenderedPageBreak/>
              <w:t>You have procedures to reconcile amounts invoiced and cash received to outstanding invoices</w:t>
            </w:r>
          </w:p>
          <w:p w:rsidR="00F77626" w:rsidRPr="004506DD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Income from legacies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</w:t>
            </w: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Your charity identifies and monitors the receipt of legacies and records legacies correctly in accounts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4506DD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N/A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10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INTERNAL FINANCIAL CONTROLS FOR EXPENDITURE</w:t>
            </w:r>
          </w:p>
          <w:p w:rsidR="00F77626" w:rsidRDefault="00F77626">
            <w:pPr>
              <w:spacing w:after="0" w:line="240" w:lineRule="auto"/>
              <w:rPr>
                <w:b/>
                <w:bCs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Expenditure on goods and services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</w:t>
            </w: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Pr="004506DD" w:rsidRDefault="008011FB">
            <w:pPr>
              <w:spacing w:after="0" w:line="240" w:lineRule="auto"/>
            </w:pPr>
            <w:r w:rsidRPr="004506DD">
              <w:t>You have a policy on the authorising of expenditure</w:t>
            </w:r>
          </w:p>
          <w:p w:rsidR="00F77626" w:rsidRPr="004506DD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4506DD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 xml:space="preserve">Discussed at </w:t>
            </w:r>
            <w:proofErr w:type="spellStart"/>
            <w:r>
              <w:rPr>
                <w:b/>
                <w:bCs/>
                <w:color w:val="4472C4"/>
              </w:rPr>
              <w:t>mtgs</w:t>
            </w:r>
            <w:proofErr w:type="spellEnd"/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Pr="004506DD" w:rsidRDefault="008011FB">
            <w:pPr>
              <w:spacing w:after="0" w:line="240" w:lineRule="auto"/>
            </w:pPr>
            <w:r w:rsidRPr="004506DD">
              <w:t>Invoices received are checked against orders, and the receipt of the goods or services ordered is checked</w:t>
            </w:r>
          </w:p>
          <w:p w:rsidR="00F77626" w:rsidRPr="004506DD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4506DD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Organiser to check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Payments by debit, credit or charge cards 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</w:t>
            </w: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You have a policy for the use of payment cards, including the criteria for their issue, spending limits and security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 xml:space="preserve">Those who have a card has a copy of the payment card policy 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 xml:space="preserve">Cards are cancelled and destroyed where necessary, such as when cards are lost 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All card expenditure is supported by receipts and invoices and recorded in the accounting records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Card statements are sent to a different person than the card holder and checked against supporting records and invoices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You review your card use policy and check periodically that users follow it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rPr>
          <w:trHeight w:val="51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Mobile payment services, such as Google Pay and Apple Pay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</w:t>
            </w:r>
          </w:p>
        </w:tc>
      </w:tr>
      <w:tr w:rsidR="00F77626" w:rsidTr="004506DD">
        <w:trPr>
          <w:trHeight w:val="56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You have the same controls as above for debit, credit or charge cards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4506DD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N/A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szCs w:val="24"/>
                <w:lang w:eastAsia="en-GB"/>
              </w:rPr>
            </w:pPr>
            <w:r>
              <w:rPr>
                <w:b/>
                <w:bCs/>
                <w:szCs w:val="24"/>
                <w:lang w:eastAsia="en-GB"/>
              </w:rPr>
              <w:t>Payments by bank transfer, Bankers’ Automated Clearing Services (BACS), Direct Debits and standing orders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</w:t>
            </w: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Only named individuals are authorised to set up these types of payments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You use a dual authorisation system for bank transfers and BACS payments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No</w:t>
            </w:r>
          </w:p>
          <w:p w:rsidR="004506DD" w:rsidRDefault="004506DD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Too small</w:t>
            </w: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lastRenderedPageBreak/>
              <w:t>You monitor the arrangements to ensure that automatic payment arrangements are cancelled where required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4506DD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N/A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Payments by cheque 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</w:t>
            </w: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Your charity follows any requirements in your governing document about who can sign cheques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4506DD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There is a prohibition on signing blank cheques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No</w:t>
            </w: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Cheque books are kept in a secure place with access only by nominated persons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 xml:space="preserve">You regularly review that authority limits are appropriate 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No</w:t>
            </w: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All cheque expenditure is recorded in the cash book and noted with the relevant cheque number, nature of payment and payee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Cheques are only signed with documentary evidence of the nature of the payment, for example, an invoice</w:t>
            </w:r>
          </w:p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Payments in cash or by pre-loaded cash card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</w:t>
            </w: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You ensure that cash payments (and any use of pre-loaded cash card) are minimal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N/A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All payments by cash are made from a cash float and not from incoming cash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Supporting documentation is authorised by someone other than the person maintaining the petty cash or the person making the payments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Details of all payments are entered in a petty cash book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Regular independent checks are made of the petty cash float and records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Paying wages and salaries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</w:t>
            </w: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Any required statutory deductions (such as tax and National Insurance) are paid to HMRC and pension contributions to the provider (legal requirement)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N/A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PAYE records are maintained as required by HMRC (legal requirement)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You comply with minimum wage legislation (legal requirement)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lastRenderedPageBreak/>
              <w:t>Any other deductions from salaries are only made where they are required or authorised (legal requirement)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End-of-year returns (P60 and P11Ds) are completed and filed with HMRC by the deadline (legal requirement)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You meet any required pension scheme arrangements (legal requirement)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All employees have contracts of employment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 xml:space="preserve">Personnel records are kept and held separately from wages records 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Salary levels are properly authorised and recorded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You have a system for notifying and authorising changes such as starters and leavers, changes of hours and other payroll changes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Payments are made by bank transfer or BACS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rPr>
          <w:trHeight w:val="58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hd w:val="clear" w:color="auto" w:fill="FFFFFF"/>
              <w:spacing w:after="300" w:line="240" w:lineRule="auto"/>
              <w:rPr>
                <w:b/>
                <w:bCs/>
                <w:szCs w:val="24"/>
                <w:lang w:eastAsia="en-GB"/>
              </w:rPr>
            </w:pPr>
            <w:r>
              <w:rPr>
                <w:b/>
                <w:bCs/>
                <w:szCs w:val="24"/>
                <w:lang w:eastAsia="en-GB"/>
              </w:rPr>
              <w:t>Payment or reimbursement of expenses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</w:t>
            </w: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You have an expenses policy that all trustees, staff and volunteers know and understand and your checks show the policy is implemented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 w:rsidP="00A60E56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Yes</w:t>
            </w:r>
            <w:r w:rsidR="004506DD">
              <w:rPr>
                <w:b/>
                <w:bCs/>
                <w:color w:val="4472C4"/>
              </w:rPr>
              <w:br/>
            </w:r>
            <w:r w:rsidR="00A60E56">
              <w:rPr>
                <w:b/>
                <w:bCs/>
                <w:color w:val="4472C4"/>
              </w:rPr>
              <w:t>See notes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Expense claims include a self-declaration that the claim is accurate and incurred in connection with the business of the charity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No</w:t>
            </w: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Expense claims are dual-authorised and do not involve the person making the claim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No</w:t>
            </w:r>
          </w:p>
          <w:p w:rsidR="004506DD" w:rsidRDefault="004506DD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Organiser &amp; treasurer</w:t>
            </w:r>
          </w:p>
        </w:tc>
      </w:tr>
      <w:tr w:rsidR="00F77626" w:rsidTr="004506DD">
        <w:trPr>
          <w:trHeight w:val="51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 xml:space="preserve">Expenses are paid in a secure way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online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Mileage rates for travel are in accordance with HMRC approved rates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Expenditure on grants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</w:t>
            </w: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 xml:space="preserve">You have a grant-making policy 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DB7678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N/A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Your procedures for checking that grants are spent in line with the terms you set are followed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Internal financial controls for payments to related parties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 xml:space="preserve">Any payments to trustees or people/organisations connected to </w:t>
            </w:r>
            <w:r>
              <w:lastRenderedPageBreak/>
              <w:t xml:space="preserve">trustees are authorised. Where there are rules in your </w:t>
            </w:r>
            <w:r>
              <w:rPr>
                <w:szCs w:val="24"/>
                <w:lang w:eastAsia="en-GB"/>
              </w:rPr>
              <w:t>charity’s governing document about payments to trustees, these are followed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B27465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lastRenderedPageBreak/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rPr>
                <w:szCs w:val="24"/>
                <w:lang w:eastAsia="en-GB"/>
              </w:rPr>
              <w:lastRenderedPageBreak/>
              <w:t xml:space="preserve">You follow the rules set out in our guidance on trustee expenses and payments and </w:t>
            </w:r>
            <w:r>
              <w:t>managing conflicts of interest in a charity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B27465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10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Internal financial controls for assets and investments</w:t>
            </w:r>
          </w:p>
          <w:p w:rsidR="00F77626" w:rsidRDefault="00F77626">
            <w:pPr>
              <w:spacing w:after="0" w:line="240" w:lineRule="auto"/>
              <w:rPr>
                <w:b/>
                <w:bCs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Tangible fixed assets 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</w:t>
            </w: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You regularly maintain a comprehensive fixed asset register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B27465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Assets are regularly inspected to make sure they are in good repair and are of use to the charity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B27465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 xml:space="preserve">You have considered your charity’s insurance cover 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B27465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You review the use of fixed assets annually to make sure they are put to best use and serve your charity’s interests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B27465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Intangible fixed assets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</w:t>
            </w: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You keep a record of all the intangible fixed assets your charity holds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B27465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No</w:t>
            </w: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Pr="004506DD" w:rsidRDefault="008011FB">
            <w:pPr>
              <w:spacing w:after="0" w:line="240" w:lineRule="auto"/>
            </w:pPr>
            <w:r w:rsidRPr="004506DD">
              <w:t>You hold electronic data securely and in line with GDPR requirements and any other relevant legislation</w:t>
            </w:r>
          </w:p>
          <w:p w:rsidR="00F77626" w:rsidRPr="00B27465" w:rsidRDefault="00F7762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4506DD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Policy in place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rPr>
          <w:trHeight w:val="47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rPr>
                <w:b/>
                <w:bCs/>
                <w:color w:val="000000"/>
              </w:rPr>
              <w:t>Restricted funds and endowment funds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</w:t>
            </w:r>
          </w:p>
        </w:tc>
      </w:tr>
      <w:tr w:rsidR="00F77626" w:rsidTr="004506DD">
        <w:trPr>
          <w:trHeight w:val="73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Your controls make sure restricted funds can only be spent on their specific purposes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B27465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N/A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rPr>
          <w:trHeight w:val="68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Your charity complies with the law in relation to any permanent endowment it holds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rPr>
          <w:trHeight w:val="696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Your charity accounts reflect any separate restricted or endowment funds it holds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Investments 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</w:t>
            </w: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 xml:space="preserve">You have read and understand your trustee duties when </w:t>
            </w:r>
            <w:hyperlink r:id="rId7" w:history="1">
              <w:r>
                <w:rPr>
                  <w:rStyle w:val="Hyperlink"/>
                </w:rPr>
                <w:t>investing charity funds</w:t>
              </w:r>
            </w:hyperlink>
            <w:r>
              <w:t xml:space="preserve"> 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4506DD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Internal financial controls for loans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You authorise any loans taken out or made by the charity usually at trustee level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B27465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N/A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Loans made by your charity are at commercial terms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lastRenderedPageBreak/>
              <w:t>Loans taken out by the charity are at the best terms it can get, and it is in the charity’s interest to secure the loan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You keep a record of the terms of any loan including security or bank covenants, and all repayments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Where a loan is made to a related party you manage conflicts of interest appropriately (legal requirement)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rPr>
          <w:trHeight w:val="76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Where a loan is made to a related party you comply with any rules in your charity’s governing document about this, and you manage conflicts of interest appropriately (legal requirement)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rPr>
          <w:trHeight w:val="76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Where your charity is taking out a loan, you have a repayment plan in place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rPr>
          <w:trHeight w:val="76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You take advice about the terms offered in a loan from a related party if appropriate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Internal financial controls for hospitality, including gifts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Pr="00DB7678" w:rsidRDefault="008011FB">
            <w:pPr>
              <w:spacing w:after="0" w:line="240" w:lineRule="auto"/>
            </w:pPr>
            <w:r w:rsidRPr="00DB7678">
              <w:t>You have a clear policy that sets out when hospitality can be given and received</w:t>
            </w:r>
          </w:p>
          <w:p w:rsidR="00F77626" w:rsidRPr="00DB7678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DB7678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See notes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Pr="00DB7678" w:rsidRDefault="008011FB">
            <w:pPr>
              <w:spacing w:after="0" w:line="240" w:lineRule="auto"/>
            </w:pPr>
            <w:r w:rsidRPr="00DB7678">
              <w:t>You keep a record of hospitality given, received or refused</w:t>
            </w:r>
          </w:p>
          <w:p w:rsidR="00F77626" w:rsidRPr="00DB7678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Pr="00DB7678" w:rsidRDefault="008011FB">
            <w:pPr>
              <w:spacing w:after="0" w:line="240" w:lineRule="auto"/>
            </w:pPr>
            <w:r w:rsidRPr="00DB7678">
              <w:t>All trustees, staff and volunteers understand and follow the hospitality policy</w:t>
            </w:r>
          </w:p>
          <w:p w:rsidR="00F77626" w:rsidRPr="00DB7678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rPr>
          <w:trHeight w:val="56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Internal audit functions and audit committees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</w:t>
            </w: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Internal auditors consult the internal audit international professional practices framework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CA3AFA">
            <w:pPr>
              <w:spacing w:after="0" w:line="240" w:lineRule="auto"/>
              <w:rPr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  <w:t>N/A</w:t>
            </w:r>
          </w:p>
        </w:tc>
      </w:tr>
      <w:tr w:rsidR="00F77626" w:rsidTr="004506D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You have clear and agreed terms of reference for your internal audit committee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rPr>
          <w:trHeight w:val="43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>You have an external audit if your charity must have 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  <w:tr w:rsidR="00F77626" w:rsidTr="004506DD">
        <w:trPr>
          <w:trHeight w:val="43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8011FB">
            <w:pPr>
              <w:spacing w:after="0" w:line="240" w:lineRule="auto"/>
            </w:pPr>
            <w:r>
              <w:t xml:space="preserve">You have an </w:t>
            </w:r>
            <w:r>
              <w:rPr>
                <w:lang w:eastAsia="en-GB"/>
              </w:rPr>
              <w:t xml:space="preserve">internal audit committee if your charity is required to have an external audit </w:t>
            </w:r>
          </w:p>
          <w:p w:rsidR="00F77626" w:rsidRDefault="00F7762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26" w:rsidRDefault="00F77626">
            <w:pPr>
              <w:spacing w:after="0" w:line="240" w:lineRule="auto"/>
              <w:rPr>
                <w:b/>
                <w:bCs/>
                <w:color w:val="4472C4"/>
              </w:rPr>
            </w:pPr>
          </w:p>
        </w:tc>
      </w:tr>
    </w:tbl>
    <w:p w:rsidR="00F77626" w:rsidRDefault="00F77626">
      <w:pPr>
        <w:rPr>
          <w:b/>
          <w:bCs/>
          <w:color w:val="4472C4"/>
        </w:rPr>
      </w:pPr>
    </w:p>
    <w:p w:rsidR="00EA747A" w:rsidRDefault="00EA747A">
      <w:pPr>
        <w:rPr>
          <w:b/>
          <w:bCs/>
          <w:color w:val="4472C4"/>
        </w:rPr>
      </w:pPr>
      <w:r>
        <w:rPr>
          <w:b/>
          <w:bCs/>
          <w:color w:val="4472C4"/>
        </w:rPr>
        <w:t>Notes 01.07.2023</w:t>
      </w:r>
    </w:p>
    <w:p w:rsidR="00EA747A" w:rsidRDefault="00EA747A" w:rsidP="00EA747A"/>
    <w:p w:rsidR="00EA747A" w:rsidRDefault="00EA747A" w:rsidP="00EA747A">
      <w:r>
        <w:rPr>
          <w:b/>
          <w:bCs/>
        </w:rPr>
        <w:t>Bursary changes</w:t>
      </w:r>
      <w:r>
        <w:t xml:space="preserve"> when Jo G leaves: new person to take over.  Hopefully the financial aspect will stay as currently</w:t>
      </w:r>
    </w:p>
    <w:p w:rsidR="00EA747A" w:rsidRDefault="00EA747A" w:rsidP="00EA747A"/>
    <w:p w:rsidR="00EA747A" w:rsidRDefault="00EA747A" w:rsidP="00EA747A">
      <w:r>
        <w:rPr>
          <w:b/>
          <w:bCs/>
        </w:rPr>
        <w:t>Blank cheques</w:t>
      </w:r>
      <w:r>
        <w:t xml:space="preserve"> - these are never issued to a third party.  However, it has been useful, given the wide geographical distance between committee members to have a </w:t>
      </w:r>
      <w:proofErr w:type="spellStart"/>
      <w:r>
        <w:t>presigned</w:t>
      </w:r>
      <w:proofErr w:type="spellEnd"/>
      <w:r>
        <w:t xml:space="preserve"> (one signature only so no use if stolen) cheque or two in the cheque book to save time when a cheque is needed (very rare these days).</w:t>
      </w:r>
    </w:p>
    <w:p w:rsidR="00EA747A" w:rsidRDefault="00EA747A" w:rsidP="00EA747A"/>
    <w:p w:rsidR="00EA747A" w:rsidRDefault="00EA747A" w:rsidP="00EA747A">
      <w:r>
        <w:rPr>
          <w:b/>
          <w:bCs/>
        </w:rPr>
        <w:t>Single authorisation for making payments online</w:t>
      </w:r>
      <w:r>
        <w:t xml:space="preserve">.  </w:t>
      </w:r>
    </w:p>
    <w:p w:rsidR="00EA747A" w:rsidRDefault="00EA747A" w:rsidP="00EA747A">
      <w:r>
        <w:t>I am afraid I am not prepared to try and set up a method of requiring a second authorisation for online bank transfers.  It has revolutionised my job as treasurer being able to do almost everything online - and if other committee members who have access to the bank accounts keep a look out, I'm sure you will spot me filching an odd £1000 or even £100 quid before I get away to the Cayman islands.  I do understand the need to be careful, but we do account for every penny at every meeting so I don't think there is a great danger.</w:t>
      </w:r>
    </w:p>
    <w:p w:rsidR="00EA747A" w:rsidRDefault="00EA747A" w:rsidP="00EA747A"/>
    <w:p w:rsidR="00EA747A" w:rsidRDefault="00EA747A" w:rsidP="00EA747A">
      <w:pPr>
        <w:rPr>
          <w:b/>
          <w:bCs/>
        </w:rPr>
      </w:pPr>
      <w:r>
        <w:rPr>
          <w:b/>
          <w:bCs/>
        </w:rPr>
        <w:t>Training</w:t>
      </w:r>
    </w:p>
    <w:p w:rsidR="00EA747A" w:rsidRDefault="00EA747A" w:rsidP="00EA747A">
      <w:r>
        <w:t>I have no idea what the Charity committee has in mind, but I hope that my notes will serve as a useful guide to new (and maybe old) trustees.</w:t>
      </w:r>
    </w:p>
    <w:p w:rsidR="00EA747A" w:rsidRDefault="00EA747A" w:rsidP="00EA747A"/>
    <w:p w:rsidR="00EA747A" w:rsidRDefault="00EA747A" w:rsidP="00EA747A">
      <w:pPr>
        <w:rPr>
          <w:b/>
          <w:bCs/>
        </w:rPr>
      </w:pPr>
      <w:r>
        <w:rPr>
          <w:b/>
          <w:bCs/>
        </w:rPr>
        <w:t>Splitting of financial duties</w:t>
      </w:r>
    </w:p>
    <w:p w:rsidR="00EA747A" w:rsidRDefault="00EA747A" w:rsidP="00EA747A">
      <w:r>
        <w:t xml:space="preserve">These are all notes prepared with an enormous range of charities in mind, I do not see any further split being needed than we already have - Jo G subs and </w:t>
      </w:r>
      <w:proofErr w:type="spellStart"/>
      <w:r>
        <w:t>giftaid</w:t>
      </w:r>
      <w:proofErr w:type="spellEnd"/>
      <w:r>
        <w:t xml:space="preserve"> figures and Bursary funds, Jo R newsletter costs and income from advertising, myself everything else.</w:t>
      </w:r>
    </w:p>
    <w:p w:rsidR="00EA747A" w:rsidRDefault="00EA747A" w:rsidP="00EA747A"/>
    <w:p w:rsidR="00EA747A" w:rsidRDefault="00EA747A" w:rsidP="00EA747A">
      <w:pPr>
        <w:rPr>
          <w:b/>
          <w:bCs/>
        </w:rPr>
      </w:pPr>
      <w:r>
        <w:rPr>
          <w:b/>
          <w:bCs/>
        </w:rPr>
        <w:t>Online banking</w:t>
      </w:r>
    </w:p>
    <w:p w:rsidR="00EA747A" w:rsidRDefault="00EA747A" w:rsidP="00EA747A">
      <w:pPr>
        <w:rPr>
          <w:b/>
          <w:bCs/>
        </w:rPr>
      </w:pPr>
      <w:proofErr w:type="spellStart"/>
      <w:r>
        <w:rPr>
          <w:b/>
          <w:bCs/>
        </w:rPr>
        <w:t>SumUp</w:t>
      </w:r>
      <w:proofErr w:type="spellEnd"/>
      <w:r>
        <w:rPr>
          <w:b/>
          <w:bCs/>
        </w:rPr>
        <w:t xml:space="preserve"> card payments for Bursary fund</w:t>
      </w:r>
    </w:p>
    <w:p w:rsidR="00EA747A" w:rsidRDefault="00EA747A" w:rsidP="00EA747A">
      <w:r>
        <w:t xml:space="preserve">As far as the auditors are concerned I imagine they see whatever is paid into the bank account as what is needed.  However, given the change of personnel I suppose I should ask that the bursary person gives me a copy of the income report so that I can tally that with the income received into our bank account - although I guess it is programmed to go straight into the NEEMF bursary account so maybe this is unnecessary?  You don't do a separate transfer from anywhere else do you Jo?  I suppose what we should do is make sure that the treasurer can access the </w:t>
      </w:r>
      <w:proofErr w:type="spellStart"/>
      <w:r>
        <w:t>SumUp</w:t>
      </w:r>
      <w:proofErr w:type="spellEnd"/>
      <w:r>
        <w:t xml:space="preserve"> account in case of need (user name and pin number or password) as we do for Stripe and </w:t>
      </w:r>
      <w:proofErr w:type="spellStart"/>
      <w:r>
        <w:t>Cognito</w:t>
      </w:r>
      <w:proofErr w:type="spellEnd"/>
      <w:r>
        <w:t>.</w:t>
      </w:r>
    </w:p>
    <w:p w:rsidR="00EA747A" w:rsidRDefault="00EA747A" w:rsidP="00EA747A"/>
    <w:p w:rsidR="00EA747A" w:rsidRDefault="00EA747A" w:rsidP="00EA747A">
      <w:r>
        <w:rPr>
          <w:b/>
          <w:bCs/>
        </w:rPr>
        <w:lastRenderedPageBreak/>
        <w:t>Industry standards</w:t>
      </w:r>
      <w:r>
        <w:t xml:space="preserve"> - so long as we reconcile the transaction history and make sure we get all the money we expect I'm sure that is all we can do.</w:t>
      </w:r>
    </w:p>
    <w:p w:rsidR="00EA747A" w:rsidRDefault="00EA747A" w:rsidP="00EA747A"/>
    <w:p w:rsidR="00EA747A" w:rsidRDefault="00EA747A" w:rsidP="00EA747A">
      <w:r>
        <w:rPr>
          <w:b/>
          <w:bCs/>
        </w:rPr>
        <w:t>Policy on Grant giving</w:t>
      </w:r>
      <w:r>
        <w:t xml:space="preserve"> - I am happy to leave that to HISS.</w:t>
      </w:r>
    </w:p>
    <w:p w:rsidR="00EA747A" w:rsidRDefault="00EA747A" w:rsidP="00EA747A"/>
    <w:p w:rsidR="00EA747A" w:rsidRDefault="00EA747A" w:rsidP="00EA747A">
      <w:r>
        <w:rPr>
          <w:b/>
          <w:bCs/>
        </w:rPr>
        <w:t>Hospitality</w:t>
      </w:r>
      <w:r>
        <w:t xml:space="preserve"> - this is occasionally offered, if appropriate, to visiting tutors. I have proposed a form of policy regarding this in the notes (point No 5).  This should be discussed and agreed or reworded as required.</w:t>
      </w:r>
    </w:p>
    <w:p w:rsidR="00EA747A" w:rsidRDefault="00EA747A">
      <w:pPr>
        <w:rPr>
          <w:b/>
          <w:bCs/>
          <w:color w:val="4472C4"/>
        </w:rPr>
      </w:pPr>
    </w:p>
    <w:sectPr w:rsidR="00EA747A" w:rsidSect="00F77626">
      <w:headerReference w:type="default" r:id="rId8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E02" w:rsidRDefault="00692E02" w:rsidP="00F77626">
      <w:pPr>
        <w:spacing w:after="0" w:line="240" w:lineRule="auto"/>
      </w:pPr>
      <w:r>
        <w:separator/>
      </w:r>
    </w:p>
  </w:endnote>
  <w:endnote w:type="continuationSeparator" w:id="0">
    <w:p w:rsidR="00692E02" w:rsidRDefault="00692E02" w:rsidP="00F7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E02" w:rsidRDefault="00692E02" w:rsidP="00F77626">
      <w:pPr>
        <w:spacing w:after="0" w:line="240" w:lineRule="auto"/>
      </w:pPr>
      <w:r w:rsidRPr="00F77626">
        <w:rPr>
          <w:color w:val="000000"/>
        </w:rPr>
        <w:separator/>
      </w:r>
    </w:p>
  </w:footnote>
  <w:footnote w:type="continuationSeparator" w:id="0">
    <w:p w:rsidR="00692E02" w:rsidRDefault="00692E02" w:rsidP="00F7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E56" w:rsidRDefault="00A60E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626"/>
    <w:rsid w:val="000F73B3"/>
    <w:rsid w:val="002F56D8"/>
    <w:rsid w:val="00323851"/>
    <w:rsid w:val="004506DD"/>
    <w:rsid w:val="00692E02"/>
    <w:rsid w:val="008011FB"/>
    <w:rsid w:val="009F2A8E"/>
    <w:rsid w:val="009F671D"/>
    <w:rsid w:val="00A60E56"/>
    <w:rsid w:val="00AA4A78"/>
    <w:rsid w:val="00B21BF4"/>
    <w:rsid w:val="00B27465"/>
    <w:rsid w:val="00C64E84"/>
    <w:rsid w:val="00CA3AFA"/>
    <w:rsid w:val="00DB7678"/>
    <w:rsid w:val="00EA747A"/>
    <w:rsid w:val="00F61E9B"/>
    <w:rsid w:val="00F7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4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77626"/>
    <w:pPr>
      <w:suppressAutoHyphens/>
    </w:pPr>
  </w:style>
  <w:style w:type="paragraph" w:styleId="Heading1">
    <w:name w:val="heading 1"/>
    <w:basedOn w:val="Normal"/>
    <w:next w:val="Normal"/>
    <w:rsid w:val="00F77626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F77626"/>
    <w:pPr>
      <w:ind w:left="720"/>
    </w:pPr>
  </w:style>
  <w:style w:type="character" w:customStyle="1" w:styleId="Heading1Char">
    <w:name w:val="Heading 1 Char"/>
    <w:basedOn w:val="DefaultParagraphFont"/>
    <w:rsid w:val="00F77626"/>
    <w:rPr>
      <w:rFonts w:ascii="Calibri Light" w:eastAsia="Times New Roman" w:hAnsi="Calibri Light" w:cs="Times New Roman"/>
      <w:color w:val="2F5496"/>
      <w:sz w:val="32"/>
      <w:szCs w:val="32"/>
    </w:rPr>
  </w:style>
  <w:style w:type="character" w:styleId="CommentReference">
    <w:name w:val="annotation reference"/>
    <w:basedOn w:val="DefaultParagraphFont"/>
    <w:rsid w:val="00F77626"/>
    <w:rPr>
      <w:sz w:val="16"/>
      <w:szCs w:val="16"/>
    </w:rPr>
  </w:style>
  <w:style w:type="paragraph" w:styleId="CommentText">
    <w:name w:val="annotation text"/>
    <w:basedOn w:val="Normal"/>
    <w:rsid w:val="00F776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sid w:val="00F77626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F77626"/>
    <w:rPr>
      <w:b/>
      <w:bCs/>
    </w:rPr>
  </w:style>
  <w:style w:type="character" w:customStyle="1" w:styleId="CommentSubjectChar">
    <w:name w:val="Comment Subject Char"/>
    <w:basedOn w:val="CommentTextChar"/>
    <w:rsid w:val="00F77626"/>
    <w:rPr>
      <w:b/>
      <w:bCs/>
      <w:sz w:val="20"/>
      <w:szCs w:val="20"/>
    </w:rPr>
  </w:style>
  <w:style w:type="paragraph" w:styleId="NormalWeb">
    <w:name w:val="Normal (Web)"/>
    <w:basedOn w:val="Normal"/>
    <w:rsid w:val="00F77626"/>
    <w:pPr>
      <w:spacing w:before="100" w:after="100" w:line="240" w:lineRule="auto"/>
    </w:pPr>
    <w:rPr>
      <w:rFonts w:ascii="Times New Roman" w:eastAsia="Times New Roman" w:hAnsi="Times New Roman"/>
      <w:szCs w:val="24"/>
      <w:lang w:eastAsia="en-GB"/>
    </w:rPr>
  </w:style>
  <w:style w:type="paragraph" w:styleId="Revision">
    <w:name w:val="Revision"/>
    <w:rsid w:val="00F77626"/>
    <w:pPr>
      <w:suppressAutoHyphens/>
      <w:spacing w:after="0" w:line="240" w:lineRule="auto"/>
    </w:pPr>
  </w:style>
  <w:style w:type="character" w:styleId="Hyperlink">
    <w:name w:val="Hyperlink"/>
    <w:basedOn w:val="DefaultParagraphFont"/>
    <w:rsid w:val="00F77626"/>
    <w:rPr>
      <w:color w:val="0000FF"/>
      <w:u w:val="single"/>
    </w:rPr>
  </w:style>
  <w:style w:type="paragraph" w:styleId="Header">
    <w:name w:val="header"/>
    <w:basedOn w:val="Normal"/>
    <w:rsid w:val="00F77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F77626"/>
  </w:style>
  <w:style w:type="paragraph" w:styleId="Footer">
    <w:name w:val="footer"/>
    <w:basedOn w:val="Normal"/>
    <w:rsid w:val="00F77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F77626"/>
  </w:style>
  <w:style w:type="character" w:styleId="FollowedHyperlink">
    <w:name w:val="FollowedHyperlink"/>
    <w:basedOn w:val="DefaultParagraphFont"/>
    <w:uiPriority w:val="99"/>
    <w:semiHidden/>
    <w:unhideWhenUsed/>
    <w:rsid w:val="004506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uk/government/publications/charities-and-investment-matters-a-guide-for-trustees-cc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publications/internal-financial-controls-for-charities-cc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3021</Words>
  <Characters>17225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Andrews</dc:creator>
  <cp:lastModifiedBy>asm284</cp:lastModifiedBy>
  <cp:revision>3</cp:revision>
  <dcterms:created xsi:type="dcterms:W3CDTF">2023-07-04T09:36:00Z</dcterms:created>
  <dcterms:modified xsi:type="dcterms:W3CDTF">2023-07-04T09:38:00Z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A13146957</vt:lpwstr>
  </property>
  <property fmtid="{D5CDD505-2E9C-101B-9397-08002B2CF9AE}" pid="4" name="Objective-Title">
    <vt:lpwstr>20230414 - FINAL - CC8 checklist</vt:lpwstr>
  </property>
  <property fmtid="{D5CDD505-2E9C-101B-9397-08002B2CF9AE}" pid="5" name="Objective-Description">
    <vt:lpwstr/>
  </property>
  <property fmtid="{D5CDD505-2E9C-101B-9397-08002B2CF9AE}" pid="6" name="Objective-CreationStamp">
    <vt:filetime>2023-04-14T11:06:46Z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2023-04-14T11:06:46Z</vt:filetime>
  </property>
  <property fmtid="{D5CDD505-2E9C-101B-9397-08002B2CF9AE}" pid="10" name="Objective-ModificationStamp">
    <vt:filetime>2023-04-14T11:06:47Z</vt:filetime>
  </property>
  <property fmtid="{D5CDD505-2E9C-101B-9397-08002B2CF9AE}" pid="11" name="Objective-Owner">
    <vt:lpwstr>Naomi Andrews</vt:lpwstr>
  </property>
  <property fmtid="{D5CDD505-2E9C-101B-9397-08002B2CF9AE}" pid="12" name="Objective-Path">
    <vt:lpwstr>CeRIS Global Folder:Team Governance:Guidance &amp; Practice:Guidance projects:Project files - Current:CC8 - Internal financial controls for charities:Publication and comms:</vt:lpwstr>
  </property>
  <property fmtid="{D5CDD505-2E9C-101B-9397-08002B2CF9AE}" pid="13" name="Objective-Parent">
    <vt:lpwstr>Publication and comms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vA14521621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Fileplan ID">
    <vt:lpwstr/>
  </property>
  <property fmtid="{D5CDD505-2E9C-101B-9397-08002B2CF9AE}" pid="23" name="Objective-Creator">
    <vt:lpwstr/>
  </property>
  <property fmtid="{D5CDD505-2E9C-101B-9397-08002B2CF9AE}" pid="24" name="Objective-Addressee">
    <vt:lpwstr/>
  </property>
  <property fmtid="{D5CDD505-2E9C-101B-9397-08002B2CF9AE}" pid="25" name="Objective-Date Acquired">
    <vt:lpwstr/>
  </property>
  <property fmtid="{D5CDD505-2E9C-101B-9397-08002B2CF9AE}" pid="26" name="Objective-Decision">
    <vt:lpwstr/>
  </property>
  <property fmtid="{D5CDD505-2E9C-101B-9397-08002B2CF9AE}" pid="27" name="Objective-Advice">
    <vt:lpwstr/>
  </property>
  <property fmtid="{D5CDD505-2E9C-101B-9397-08002B2CF9AE}" pid="28" name="Objective-Complaint">
    <vt:lpwstr/>
  </property>
  <property fmtid="{D5CDD505-2E9C-101B-9397-08002B2CF9AE}" pid="29" name="Objective-Sets Precedent">
    <vt:lpwstr/>
  </property>
  <property fmtid="{D5CDD505-2E9C-101B-9397-08002B2CF9AE}" pid="30" name="Objective-Requesting MP">
    <vt:lpwstr/>
  </property>
  <property fmtid="{D5CDD505-2E9C-101B-9397-08002B2CF9AE}" pid="31" name="Objective-Responsible Officer">
    <vt:lpwstr/>
  </property>
  <property fmtid="{D5CDD505-2E9C-101B-9397-08002B2CF9AE}" pid="32" name="Objective-Language">
    <vt:lpwstr>English</vt:lpwstr>
  </property>
  <property fmtid="{D5CDD505-2E9C-101B-9397-08002B2CF9AE}" pid="33" name="Objective-Classification Expiry Date">
    <vt:lpwstr/>
  </property>
  <property fmtid="{D5CDD505-2E9C-101B-9397-08002B2CF9AE}" pid="34" name="Objective-Disclosability to DPA Data Subject">
    <vt:lpwstr>Yes</vt:lpwstr>
  </property>
  <property fmtid="{D5CDD505-2E9C-101B-9397-08002B2CF9AE}" pid="35" name="Objective-DPA Data Subject Access Exemption">
    <vt:lpwstr/>
  </property>
  <property fmtid="{D5CDD505-2E9C-101B-9397-08002B2CF9AE}" pid="36" name="Objective-FOI Disclosabiltiy Indicator">
    <vt:lpwstr>Yes</vt:lpwstr>
  </property>
  <property fmtid="{D5CDD505-2E9C-101B-9397-08002B2CF9AE}" pid="37" name="Objective-FOI Exemption">
    <vt:lpwstr/>
  </property>
  <property fmtid="{D5CDD505-2E9C-101B-9397-08002B2CF9AE}" pid="38" name="Objective-FOI Disclosability Last Review">
    <vt:lpwstr/>
  </property>
  <property fmtid="{D5CDD505-2E9C-101B-9397-08002B2CF9AE}" pid="39" name="Objective-FOI Release Details">
    <vt:lpwstr/>
  </property>
  <property fmtid="{D5CDD505-2E9C-101B-9397-08002B2CF9AE}" pid="40" name="Objective-FOI Release Date">
    <vt:lpwstr/>
  </property>
  <property fmtid="{D5CDD505-2E9C-101B-9397-08002B2CF9AE}" pid="41" name="Objective-Review Progress Status">
    <vt:lpwstr/>
  </property>
  <property fmtid="{D5CDD505-2E9C-101B-9397-08002B2CF9AE}" pid="42" name="Objective-EIR Disclosabiltiy Indicator">
    <vt:lpwstr>Yes</vt:lpwstr>
  </property>
  <property fmtid="{D5CDD505-2E9C-101B-9397-08002B2CF9AE}" pid="43" name="Objective-EIR Exemption">
    <vt:lpwstr/>
  </property>
  <property fmtid="{D5CDD505-2E9C-101B-9397-08002B2CF9AE}" pid="44" name="Objective-Authorising Statute">
    <vt:lpwstr/>
  </property>
  <property fmtid="{D5CDD505-2E9C-101B-9397-08002B2CF9AE}" pid="45" name="Objective-Personal Data Acquisition Purpose">
    <vt:lpwstr/>
  </property>
  <property fmtid="{D5CDD505-2E9C-101B-9397-08002B2CF9AE}" pid="46" name="Objective-Security Descriptor">
    <vt:lpwstr/>
  </property>
  <property fmtid="{D5CDD505-2E9C-101B-9397-08002B2CF9AE}" pid="47" name="Objective-Connect Creator">
    <vt:lpwstr/>
  </property>
  <property fmtid="{D5CDD505-2E9C-101B-9397-08002B2CF9AE}" pid="48" name="Objective-Criminal Conviction Data">
    <vt:lpwstr>N</vt:lpwstr>
  </property>
  <property fmtid="{D5CDD505-2E9C-101B-9397-08002B2CF9AE}" pid="49" name="Objective-Comment">
    <vt:lpwstr/>
  </property>
  <property fmtid="{D5CDD505-2E9C-101B-9397-08002B2CF9AE}" pid="50" name="Objective-Fileplan ID [system]">
    <vt:lpwstr/>
  </property>
  <property fmtid="{D5CDD505-2E9C-101B-9397-08002B2CF9AE}" pid="51" name="Objective-Title [system]">
    <vt:lpwstr>20230414 - FINAL - CC8 checklist</vt:lpwstr>
  </property>
  <property fmtid="{D5CDD505-2E9C-101B-9397-08002B2CF9AE}" pid="52" name="Objective-Creator [system]">
    <vt:lpwstr/>
  </property>
  <property fmtid="{D5CDD505-2E9C-101B-9397-08002B2CF9AE}" pid="53" name="Objective-Addressee [system]">
    <vt:lpwstr/>
  </property>
  <property fmtid="{D5CDD505-2E9C-101B-9397-08002B2CF9AE}" pid="54" name="Objective-Date Acquired [system]">
    <vt:lpwstr/>
  </property>
  <property fmtid="{D5CDD505-2E9C-101B-9397-08002B2CF9AE}" pid="55" name="Objective-Decision [system]">
    <vt:lpwstr/>
  </property>
  <property fmtid="{D5CDD505-2E9C-101B-9397-08002B2CF9AE}" pid="56" name="Objective-Advice [system]">
    <vt:lpwstr/>
  </property>
  <property fmtid="{D5CDD505-2E9C-101B-9397-08002B2CF9AE}" pid="57" name="Objective-Complaint [system]">
    <vt:lpwstr/>
  </property>
  <property fmtid="{D5CDD505-2E9C-101B-9397-08002B2CF9AE}" pid="58" name="Objective-Sets Precedent [system]">
    <vt:lpwstr/>
  </property>
  <property fmtid="{D5CDD505-2E9C-101B-9397-08002B2CF9AE}" pid="59" name="Objective-Requesting MP [system]">
    <vt:lpwstr/>
  </property>
  <property fmtid="{D5CDD505-2E9C-101B-9397-08002B2CF9AE}" pid="60" name="Objective-Responsible Officer [system]">
    <vt:lpwstr/>
  </property>
  <property fmtid="{D5CDD505-2E9C-101B-9397-08002B2CF9AE}" pid="61" name="Objective-Language [system]">
    <vt:lpwstr>English</vt:lpwstr>
  </property>
  <property fmtid="{D5CDD505-2E9C-101B-9397-08002B2CF9AE}" pid="62" name="Objective-Classification Expiry Date [system]">
    <vt:lpwstr/>
  </property>
  <property fmtid="{D5CDD505-2E9C-101B-9397-08002B2CF9AE}" pid="63" name="Objective-Disclosability to DPA Data Subject [system]">
    <vt:lpwstr>Yes</vt:lpwstr>
  </property>
  <property fmtid="{D5CDD505-2E9C-101B-9397-08002B2CF9AE}" pid="64" name="Objective-DPA Data Subject Access Exemption [system]">
    <vt:lpwstr/>
  </property>
  <property fmtid="{D5CDD505-2E9C-101B-9397-08002B2CF9AE}" pid="65" name="Objective-FOI Disclosabiltiy Indicator [system]">
    <vt:lpwstr>Yes</vt:lpwstr>
  </property>
  <property fmtid="{D5CDD505-2E9C-101B-9397-08002B2CF9AE}" pid="66" name="Objective-FOI Exemption [system]">
    <vt:lpwstr/>
  </property>
  <property fmtid="{D5CDD505-2E9C-101B-9397-08002B2CF9AE}" pid="67" name="Objective-FOI Disclosability Last Review [system]">
    <vt:lpwstr/>
  </property>
  <property fmtid="{D5CDD505-2E9C-101B-9397-08002B2CF9AE}" pid="68" name="Objective-FOI Release Details [system]">
    <vt:lpwstr/>
  </property>
  <property fmtid="{D5CDD505-2E9C-101B-9397-08002B2CF9AE}" pid="69" name="Objective-FOI Release Date [system]">
    <vt:lpwstr/>
  </property>
  <property fmtid="{D5CDD505-2E9C-101B-9397-08002B2CF9AE}" pid="70" name="Objective-Review Progress Status [system]">
    <vt:lpwstr/>
  </property>
  <property fmtid="{D5CDD505-2E9C-101B-9397-08002B2CF9AE}" pid="71" name="Objective-EIR Disclosabiltiy Indicator [system]">
    <vt:lpwstr>Yes</vt:lpwstr>
  </property>
  <property fmtid="{D5CDD505-2E9C-101B-9397-08002B2CF9AE}" pid="72" name="Objective-EIR Exemption [system]">
    <vt:lpwstr/>
  </property>
  <property fmtid="{D5CDD505-2E9C-101B-9397-08002B2CF9AE}" pid="73" name="Objective-Authorising Statute [system]">
    <vt:lpwstr/>
  </property>
  <property fmtid="{D5CDD505-2E9C-101B-9397-08002B2CF9AE}" pid="74" name="Objective-Personal Data Acquisition Purpose [system]">
    <vt:lpwstr/>
  </property>
  <property fmtid="{D5CDD505-2E9C-101B-9397-08002B2CF9AE}" pid="75" name="Objective-Security Descriptor [system]">
    <vt:lpwstr/>
  </property>
  <property fmtid="{D5CDD505-2E9C-101B-9397-08002B2CF9AE}" pid="76" name="Objective-Connect Creator [system]">
    <vt:lpwstr/>
  </property>
  <property fmtid="{D5CDD505-2E9C-101B-9397-08002B2CF9AE}" pid="77" name="Objective-Criminal Conviction Data [system]">
    <vt:bool>false</vt:bool>
  </property>
  <property fmtid="{D5CDD505-2E9C-101B-9397-08002B2CF9AE}" pid="78" name="_NewReviewCycle">
    <vt:lpwstr/>
  </property>
</Properties>
</file>